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F1013" w14:textId="30272018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Best Practice Overview 1 Page for National Groups</w:t>
      </w:r>
    </w:p>
    <w:p w14:paraId="16186AEB" w14:textId="6ED3727C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Date:  8-19-20</w:t>
      </w:r>
    </w:p>
    <w:p w14:paraId="41CA6DD2" w14:textId="77777777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Author: April Gucciardi</w:t>
      </w:r>
    </w:p>
    <w:p w14:paraId="0DE3F0D3" w14:textId="1FF780D2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Objective: Provide examples of best practices for introducing plans to national groups with Imagine Health and ELAP.</w:t>
      </w:r>
      <w:r w:rsidR="00377FA7">
        <w:rPr>
          <w:rFonts w:ascii="Calibri" w:eastAsia="Times New Roman" w:hAnsi="Calibri" w:cs="Calibri"/>
        </w:rPr>
        <w:t xml:space="preserve"> Also show clients/brokers that we have experience handling these types of plans. </w:t>
      </w:r>
    </w:p>
    <w:p w14:paraId="7C9A98D4" w14:textId="45CE08AA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Audience: Brokers/Clients</w:t>
      </w:r>
    </w:p>
    <w:p w14:paraId="0C2F29EB" w14:textId="33D66210" w:rsidR="00DB3E65" w:rsidRDefault="00690F37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Notes: Use plan differential piece we created for Chris as a starting point</w:t>
      </w:r>
    </w:p>
    <w:p w14:paraId="427CC9C4" w14:textId="13A0E7A2" w:rsidR="00690F37" w:rsidRDefault="00690F37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Branding: Imagine/ELAP</w:t>
      </w:r>
    </w:p>
    <w:p w14:paraId="51E5F679" w14:textId="77777777" w:rsidR="0056408B" w:rsidRDefault="0056408B" w:rsidP="0056408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14:paraId="7E2D6ABA" w14:textId="1C1757C1" w:rsidR="00A26BCE" w:rsidRDefault="00A26BCE"/>
    <w:p w14:paraId="3CC3BFF9" w14:textId="0BD32F39" w:rsidR="005500A3" w:rsidRDefault="0094704C" w:rsidP="005500A3">
      <w:r>
        <w:t xml:space="preserve">When it comes to </w:t>
      </w:r>
      <w:r w:rsidR="00963E6A">
        <w:t xml:space="preserve">saving money on healthcare, </w:t>
      </w:r>
      <w:r>
        <w:t xml:space="preserve">Imagine Health and ELAP Services have </w:t>
      </w:r>
      <w:r w:rsidR="001302E6">
        <w:t xml:space="preserve">more than </w:t>
      </w:r>
      <w:r>
        <w:t>12 years of experience</w:t>
      </w:r>
      <w:r w:rsidR="003F1FD2">
        <w:t xml:space="preserve">. </w:t>
      </w:r>
      <w:r w:rsidR="005500A3">
        <w:t xml:space="preserve">With Imagine Health, your employees get direct access to quality healthcare providers and a cost containment solution from ELAP Services for care outside of Imagine. </w:t>
      </w:r>
    </w:p>
    <w:p w14:paraId="25C05FE2" w14:textId="3CA89B29" w:rsidR="005500A3" w:rsidRDefault="005500A3" w:rsidP="0094704C"/>
    <w:p w14:paraId="7A6DF1E9" w14:textId="644DBB81" w:rsidR="0030097E" w:rsidRDefault="003F1FD2">
      <w:r>
        <w:t xml:space="preserve">We work with </w:t>
      </w:r>
      <w:r w:rsidR="00391B11">
        <w:t>self-funded employers</w:t>
      </w:r>
      <w:r>
        <w:t xml:space="preserve"> </w:t>
      </w:r>
      <w:r w:rsidR="00391B11">
        <w:t xml:space="preserve">of all sizes to provide measurable savings </w:t>
      </w:r>
      <w:r w:rsidR="00D32A9E">
        <w:t>and drive real results.</w:t>
      </w:r>
      <w:r w:rsidR="005500A3">
        <w:t xml:space="preserve"> </w:t>
      </w:r>
      <w:r w:rsidR="00BA6E6C">
        <w:t xml:space="preserve">Plan details can vary based on your group </w:t>
      </w:r>
      <w:r w:rsidR="001F2144">
        <w:t>size,</w:t>
      </w:r>
      <w:r w:rsidR="00FA1C2D">
        <w:t xml:space="preserve"> but</w:t>
      </w:r>
      <w:r w:rsidR="00BA6E6C">
        <w:t xml:space="preserve"> </w:t>
      </w:r>
      <w:r w:rsidR="005500A3">
        <w:t>o</w:t>
      </w:r>
      <w:r w:rsidR="00383297">
        <w:t>ur team will work together with you and your Third-Party Administrator (TPA)</w:t>
      </w:r>
      <w:r w:rsidR="00FA1C2D">
        <w:t xml:space="preserve"> to </w:t>
      </w:r>
      <w:r w:rsidR="005500A3">
        <w:t>build</w:t>
      </w:r>
      <w:r w:rsidR="00A24E42">
        <w:t xml:space="preserve"> </w:t>
      </w:r>
      <w:r w:rsidR="00FA1C2D">
        <w:t xml:space="preserve">a plan design that is right for you. </w:t>
      </w:r>
    </w:p>
    <w:p w14:paraId="30ECE476" w14:textId="77777777" w:rsidR="0030097E" w:rsidRDefault="0030097E"/>
    <w:p w14:paraId="5181357C" w14:textId="2774B5EC" w:rsidR="002F068D" w:rsidRDefault="00A53827" w:rsidP="002F068D">
      <w:pPr>
        <w:rPr>
          <w:rFonts w:eastAsia="Times New Roman"/>
        </w:rPr>
      </w:pPr>
      <w:r>
        <w:rPr>
          <w:rFonts w:eastAsia="Times New Roman"/>
        </w:rPr>
        <w:t xml:space="preserve">The below </w:t>
      </w:r>
      <w:r w:rsidR="00E719E0">
        <w:rPr>
          <w:rFonts w:eastAsia="Times New Roman"/>
        </w:rPr>
        <w:t xml:space="preserve">implementation options are examples of just two different ways </w:t>
      </w:r>
      <w:r w:rsidR="006D3CC7">
        <w:rPr>
          <w:rFonts w:eastAsia="Times New Roman"/>
        </w:rPr>
        <w:t xml:space="preserve">we can help </w:t>
      </w:r>
      <w:bookmarkStart w:id="0" w:name="_GoBack"/>
      <w:bookmarkEnd w:id="0"/>
      <w:r w:rsidR="006D3CC7">
        <w:rPr>
          <w:rFonts w:eastAsia="Times New Roman"/>
        </w:rPr>
        <w:t xml:space="preserve">structure your health plan. </w:t>
      </w:r>
    </w:p>
    <w:p w14:paraId="13547077" w14:textId="77777777" w:rsidR="0085370A" w:rsidRDefault="0085370A" w:rsidP="0085370A"/>
    <w:p w14:paraId="296B4ED0" w14:textId="1AD2A65D" w:rsidR="0085370A" w:rsidRPr="003B706B" w:rsidRDefault="006D6ACB" w:rsidP="0085370A">
      <w:pPr>
        <w:rPr>
          <w:u w:val="single"/>
        </w:rPr>
      </w:pPr>
      <w:r w:rsidRPr="003B706B">
        <w:rPr>
          <w:u w:val="single"/>
        </w:rPr>
        <w:t>Implementation Plan #1</w:t>
      </w:r>
    </w:p>
    <w:p w14:paraId="14BB4347" w14:textId="2CC60FB6" w:rsidR="0085370A" w:rsidRDefault="0085370A" w:rsidP="0085370A">
      <w:r>
        <w:t xml:space="preserve">This plan </w:t>
      </w:r>
      <w:r w:rsidR="00721B3B">
        <w:t xml:space="preserve">option gives </w:t>
      </w:r>
      <w:r w:rsidR="00A57BF1">
        <w:t xml:space="preserve">all </w:t>
      </w:r>
      <w:r w:rsidR="00721B3B">
        <w:t>employees the ability</w:t>
      </w:r>
      <w:r>
        <w:t xml:space="preserve"> to seek care from the provider of </w:t>
      </w:r>
      <w:r w:rsidR="00721B3B">
        <w:t>their</w:t>
      </w:r>
      <w:r>
        <w:t xml:space="preserve"> choice. However, </w:t>
      </w:r>
      <w:r w:rsidR="00721B3B">
        <w:t>they</w:t>
      </w:r>
      <w:r>
        <w:t xml:space="preserve"> will maximize </w:t>
      </w:r>
      <w:r w:rsidR="00721B3B">
        <w:t>their</w:t>
      </w:r>
      <w:r>
        <w:t xml:space="preserve"> benefits and reduce out-of-pocket costs if </w:t>
      </w:r>
      <w:r w:rsidR="00721B3B">
        <w:t>they</w:t>
      </w:r>
      <w:r>
        <w:t xml:space="preserve"> choose a provider who participates in Imagine Health. </w:t>
      </w:r>
    </w:p>
    <w:p w14:paraId="2BE4AA6D" w14:textId="7E6AF27B" w:rsidR="006D6ACB" w:rsidRDefault="006D6ACB" w:rsidP="0085370A"/>
    <w:p w14:paraId="67E5658C" w14:textId="2FCC5110" w:rsidR="006D6ACB" w:rsidRDefault="006D6ACB" w:rsidP="0085370A">
      <w:r>
        <w:rPr>
          <w:noProof/>
        </w:rPr>
        <w:drawing>
          <wp:inline distT="0" distB="0" distL="0" distR="0" wp14:anchorId="4C4E8FCE" wp14:editId="04C953A0">
            <wp:extent cx="5943600" cy="1256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85E65" w14:textId="26562F9F" w:rsidR="006D6ACB" w:rsidRDefault="006D6ACB" w:rsidP="0085370A">
      <w:r>
        <w:rPr>
          <w:noProof/>
        </w:rPr>
        <w:drawing>
          <wp:inline distT="0" distB="0" distL="0" distR="0" wp14:anchorId="778968C6" wp14:editId="73D5D076">
            <wp:extent cx="431292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7436" b="8297"/>
                    <a:stretch/>
                  </pic:blipFill>
                  <pic:spPr bwMode="auto">
                    <a:xfrm>
                      <a:off x="0" y="0"/>
                      <a:ext cx="431292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DAACC" w14:textId="0ED14849" w:rsidR="006D6ACB" w:rsidRDefault="006D6ACB" w:rsidP="0085370A">
      <w:r>
        <w:rPr>
          <w:noProof/>
        </w:rPr>
        <w:drawing>
          <wp:inline distT="0" distB="0" distL="0" distR="0" wp14:anchorId="0DCEE10E" wp14:editId="549C82F8">
            <wp:extent cx="5105400" cy="295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592C" w14:textId="77777777" w:rsidR="006D6ACB" w:rsidRDefault="006D6ACB" w:rsidP="0085370A"/>
    <w:p w14:paraId="61000C6B" w14:textId="77777777" w:rsidR="006D6ACB" w:rsidRDefault="006D6ACB" w:rsidP="0085370A"/>
    <w:p w14:paraId="0A379359" w14:textId="6129CE8E" w:rsidR="006D6ACB" w:rsidRDefault="006D6ACB" w:rsidP="0085370A">
      <w:r w:rsidRPr="003B706B">
        <w:rPr>
          <w:u w:val="single"/>
        </w:rPr>
        <w:t>Implementation Plan #2:</w:t>
      </w:r>
      <w:r>
        <w:t xml:space="preserve"> (Goes with Graphics 2&amp;3)</w:t>
      </w:r>
    </w:p>
    <w:p w14:paraId="1BE60A02" w14:textId="43EC46D2" w:rsidR="0048463B" w:rsidRDefault="0048463B" w:rsidP="0085370A">
      <w:r>
        <w:t xml:space="preserve">This plan option requires separate benefits materials for your different employee groups. Employees within Imagine markets </w:t>
      </w:r>
      <w:r w:rsidR="00873E4D">
        <w:t xml:space="preserve">will maximize their benefits if they choose a provider who participates in Imagine Health. </w:t>
      </w:r>
    </w:p>
    <w:p w14:paraId="6FB22AF3" w14:textId="77777777" w:rsidR="0085370A" w:rsidRDefault="0085370A" w:rsidP="0085370A"/>
    <w:p w14:paraId="10E8F0E5" w14:textId="76BFA93C" w:rsidR="00377FA7" w:rsidRDefault="00377FA7" w:rsidP="0056408B">
      <w:r w:rsidRPr="0085370A">
        <w:rPr>
          <w:i/>
          <w:iCs/>
        </w:rPr>
        <w:t>Sample Graphic</w:t>
      </w:r>
      <w:r w:rsidR="00690F37" w:rsidRPr="0085370A">
        <w:rPr>
          <w:i/>
          <w:iCs/>
        </w:rPr>
        <w:t xml:space="preserve"> </w:t>
      </w:r>
      <w:r w:rsidR="00721B3B">
        <w:rPr>
          <w:i/>
          <w:iCs/>
        </w:rPr>
        <w:t>2</w:t>
      </w:r>
      <w:r w:rsidRPr="0085370A">
        <w:rPr>
          <w:i/>
          <w:iCs/>
        </w:rPr>
        <w:t>:</w:t>
      </w:r>
      <w:r>
        <w:t xml:space="preserve"> </w:t>
      </w:r>
      <w:r w:rsidR="0085370A">
        <w:t xml:space="preserve">Imagine Health Market Employees </w:t>
      </w:r>
      <w:r w:rsidR="00DB3E65">
        <w:t xml:space="preserve">(Recreate and Remove our company names – First column Imagine Health, Second Column </w:t>
      </w:r>
      <w:r w:rsidR="0085370A">
        <w:t>PHCS Physicians, 3</w:t>
      </w:r>
      <w:r w:rsidR="0085370A" w:rsidRPr="0085370A">
        <w:rPr>
          <w:vertAlign w:val="superscript"/>
        </w:rPr>
        <w:t>rd</w:t>
      </w:r>
      <w:r w:rsidR="0085370A">
        <w:t xml:space="preserve"> as-is</w:t>
      </w:r>
      <w:r w:rsidR="00DB3E65">
        <w:t xml:space="preserve">) </w:t>
      </w:r>
    </w:p>
    <w:p w14:paraId="49671C7F" w14:textId="13BD13AC" w:rsidR="00377FA7" w:rsidRDefault="00377FA7" w:rsidP="0056408B"/>
    <w:p w14:paraId="57A877AA" w14:textId="33831C1B" w:rsidR="00377FA7" w:rsidRDefault="00377FA7" w:rsidP="0056408B">
      <w:r w:rsidRPr="00377FA7">
        <w:rPr>
          <w:noProof/>
        </w:rPr>
        <w:lastRenderedPageBreak/>
        <w:drawing>
          <wp:inline distT="0" distB="0" distL="0" distR="0" wp14:anchorId="6B18562C" wp14:editId="797D57A1">
            <wp:extent cx="5928360" cy="135636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9E7531B-26D0-4540-A6E7-F6BCE95506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9E7531B-26D0-4540-A6E7-F6BCE95506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257" b="64547"/>
                    <a:stretch/>
                  </pic:blipFill>
                  <pic:spPr bwMode="auto">
                    <a:xfrm>
                      <a:off x="0" y="0"/>
                      <a:ext cx="592836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A15C5" w14:textId="1481F7DE" w:rsidR="0085370A" w:rsidRDefault="0085370A" w:rsidP="0056408B"/>
    <w:p w14:paraId="399978BB" w14:textId="068944FF" w:rsidR="0085370A" w:rsidRDefault="0085370A" w:rsidP="0085370A">
      <w:r w:rsidRPr="0085370A">
        <w:rPr>
          <w:i/>
          <w:iCs/>
        </w:rPr>
        <w:t xml:space="preserve">Sample Graphic </w:t>
      </w:r>
      <w:r w:rsidR="00721B3B">
        <w:rPr>
          <w:i/>
          <w:iCs/>
        </w:rPr>
        <w:t>3</w:t>
      </w:r>
      <w:r w:rsidRPr="0085370A">
        <w:rPr>
          <w:i/>
          <w:iCs/>
        </w:rPr>
        <w:t>:</w:t>
      </w:r>
      <w:r>
        <w:t xml:space="preserve"> Non-Imagine Health Market Employees (Recreate and Remove our company names – First column Imagine Health, Second Column PHCS Physicians, 3</w:t>
      </w:r>
      <w:r w:rsidRPr="0085370A">
        <w:rPr>
          <w:vertAlign w:val="superscript"/>
        </w:rPr>
        <w:t>rd</w:t>
      </w:r>
      <w:r>
        <w:t xml:space="preserve"> as-is) </w:t>
      </w:r>
    </w:p>
    <w:p w14:paraId="76D6CDEB" w14:textId="29A69CB8" w:rsidR="0085370A" w:rsidRDefault="0085370A" w:rsidP="0056408B"/>
    <w:p w14:paraId="77D70B7E" w14:textId="6572144B" w:rsidR="0085370A" w:rsidRDefault="0085370A" w:rsidP="0056408B">
      <w:r w:rsidRPr="0085370A">
        <w:rPr>
          <w:noProof/>
        </w:rPr>
        <w:drawing>
          <wp:inline distT="0" distB="0" distL="0" distR="0" wp14:anchorId="64816486" wp14:editId="4E49FD43">
            <wp:extent cx="5943600" cy="1341120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EAB61DFF-48DA-4B21-8AD5-9696339668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EAB61DFF-48DA-4B21-8AD5-9696339668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b="63755"/>
                    <a:stretch/>
                  </pic:blipFill>
                  <pic:spPr bwMode="auto">
                    <a:xfrm>
                      <a:off x="0" y="0"/>
                      <a:ext cx="5943600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0B46F" w14:textId="764CDDD2" w:rsidR="00690F37" w:rsidRDefault="00690F37" w:rsidP="00690F37"/>
    <w:p w14:paraId="665B6185" w14:textId="77777777" w:rsidR="003B706B" w:rsidRDefault="003B706B" w:rsidP="003B706B">
      <w:pPr>
        <w:rPr>
          <w:rFonts w:eastAsia="Times New Roman"/>
        </w:rPr>
      </w:pPr>
      <w:r w:rsidRPr="003B706B">
        <w:rPr>
          <w:rFonts w:eastAsia="Times New Roman"/>
          <w:i/>
          <w:iCs/>
        </w:rPr>
        <w:t>Sidebar chart:</w:t>
      </w:r>
      <w:r>
        <w:rPr>
          <w:rFonts w:eastAsia="Times New Roman"/>
        </w:rPr>
        <w:t xml:space="preserve"> </w:t>
      </w:r>
    </w:p>
    <w:p w14:paraId="5AB91411" w14:textId="77777777" w:rsidR="003B706B" w:rsidRDefault="003B706B" w:rsidP="003B706B">
      <w:pPr>
        <w:rPr>
          <w:rFonts w:eastAsia="Times New Roman"/>
        </w:rPr>
      </w:pPr>
      <w:r>
        <w:rPr>
          <w:rFonts w:eastAsia="Times New Roman"/>
        </w:rPr>
        <w:t xml:space="preserve">Here’s a quick overview of two sample implementation plans:  </w:t>
      </w:r>
    </w:p>
    <w:p w14:paraId="0943A779" w14:textId="77777777" w:rsidR="003B706B" w:rsidRDefault="003B706B" w:rsidP="003B706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3775"/>
      </w:tblGrid>
      <w:tr w:rsidR="003B706B" w14:paraId="2B1D1D6B" w14:textId="77777777" w:rsidTr="002B2CEC">
        <w:tc>
          <w:tcPr>
            <w:tcW w:w="2245" w:type="dxa"/>
          </w:tcPr>
          <w:p w14:paraId="037C7187" w14:textId="77777777" w:rsidR="003B706B" w:rsidRDefault="003B706B" w:rsidP="002B2CEC">
            <w:pPr>
              <w:rPr>
                <w:rFonts w:eastAsia="Times New Roman"/>
              </w:rPr>
            </w:pPr>
          </w:p>
        </w:tc>
        <w:tc>
          <w:tcPr>
            <w:tcW w:w="3330" w:type="dxa"/>
          </w:tcPr>
          <w:p w14:paraId="581BEDBB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Implementation Plan #1 </w:t>
            </w:r>
          </w:p>
        </w:tc>
        <w:tc>
          <w:tcPr>
            <w:tcW w:w="3775" w:type="dxa"/>
          </w:tcPr>
          <w:p w14:paraId="427C06C9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Implementation Plan #2 </w:t>
            </w:r>
          </w:p>
        </w:tc>
      </w:tr>
      <w:tr w:rsidR="003B706B" w14:paraId="34198BD1" w14:textId="77777777" w:rsidTr="002B2CEC">
        <w:tc>
          <w:tcPr>
            <w:tcW w:w="2245" w:type="dxa"/>
          </w:tcPr>
          <w:p w14:paraId="16FE67E4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Design</w:t>
            </w:r>
          </w:p>
        </w:tc>
        <w:tc>
          <w:tcPr>
            <w:tcW w:w="3330" w:type="dxa"/>
          </w:tcPr>
          <w:p w14:paraId="38E45D63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One design for all employees nationwide </w:t>
            </w:r>
          </w:p>
        </w:tc>
        <w:tc>
          <w:tcPr>
            <w:tcW w:w="3775" w:type="dxa"/>
          </w:tcPr>
          <w:p w14:paraId="2BDF645A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Separate designs for Imagine and Non-Imagine markets</w:t>
            </w:r>
          </w:p>
        </w:tc>
      </w:tr>
      <w:tr w:rsidR="003B706B" w14:paraId="4CECBA68" w14:textId="77777777" w:rsidTr="002B2CEC">
        <w:tc>
          <w:tcPr>
            <w:tcW w:w="2245" w:type="dxa"/>
          </w:tcPr>
          <w:p w14:paraId="53159077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Open Enrollment Meetings</w:t>
            </w:r>
          </w:p>
        </w:tc>
        <w:tc>
          <w:tcPr>
            <w:tcW w:w="3330" w:type="dxa"/>
          </w:tcPr>
          <w:p w14:paraId="7D540044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One OE Meeting for all Employees</w:t>
            </w:r>
          </w:p>
        </w:tc>
        <w:tc>
          <w:tcPr>
            <w:tcW w:w="3775" w:type="dxa"/>
          </w:tcPr>
          <w:p w14:paraId="1A9B2525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Meetings </w:t>
            </w:r>
            <w:r w:rsidRPr="00B34199">
              <w:rPr>
                <w:rFonts w:eastAsia="Times New Roman"/>
              </w:rPr>
              <w:t>by market OR two OE meetings</w:t>
            </w:r>
            <w:r>
              <w:rPr>
                <w:rFonts w:eastAsia="Times New Roman"/>
              </w:rPr>
              <w:t>:</w:t>
            </w:r>
            <w:r w:rsidRPr="00B34199">
              <w:rPr>
                <w:rFonts w:eastAsia="Times New Roman"/>
              </w:rPr>
              <w:t xml:space="preserve"> one for IH markets and one for ELAP markets</w:t>
            </w:r>
          </w:p>
        </w:tc>
      </w:tr>
      <w:tr w:rsidR="003B706B" w14:paraId="432D4236" w14:textId="77777777" w:rsidTr="002B2CEC">
        <w:tc>
          <w:tcPr>
            <w:tcW w:w="2245" w:type="dxa"/>
          </w:tcPr>
          <w:p w14:paraId="30B809F0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 Cards</w:t>
            </w:r>
          </w:p>
        </w:tc>
        <w:tc>
          <w:tcPr>
            <w:tcW w:w="3330" w:type="dxa"/>
          </w:tcPr>
          <w:p w14:paraId="1F621415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 have Imagine logo</w:t>
            </w:r>
          </w:p>
        </w:tc>
        <w:tc>
          <w:tcPr>
            <w:tcW w:w="3775" w:type="dxa"/>
          </w:tcPr>
          <w:p w14:paraId="10A91F95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Imagine logo only for those in Imagine markets</w:t>
            </w:r>
          </w:p>
        </w:tc>
      </w:tr>
      <w:tr w:rsidR="003B706B" w14:paraId="73D45AE9" w14:textId="77777777" w:rsidTr="002B2CEC">
        <w:tc>
          <w:tcPr>
            <w:tcW w:w="2245" w:type="dxa"/>
          </w:tcPr>
          <w:p w14:paraId="3A51FC77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Finding a Provider</w:t>
            </w:r>
          </w:p>
        </w:tc>
        <w:tc>
          <w:tcPr>
            <w:tcW w:w="3330" w:type="dxa"/>
          </w:tcPr>
          <w:p w14:paraId="764F3BD1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Visit providers.imaginehealth.com or call TPA for assistance</w:t>
            </w:r>
          </w:p>
        </w:tc>
        <w:tc>
          <w:tcPr>
            <w:tcW w:w="3775" w:type="dxa"/>
          </w:tcPr>
          <w:p w14:paraId="58B6B1EB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Depends on Market – all can call TPA for assistance </w:t>
            </w:r>
          </w:p>
        </w:tc>
      </w:tr>
    </w:tbl>
    <w:p w14:paraId="7DE6AD1C" w14:textId="03BA4520" w:rsidR="00873E4D" w:rsidRDefault="00873E4D" w:rsidP="00690F37"/>
    <w:p w14:paraId="1BFA7D72" w14:textId="6ADA599E" w:rsidR="003B706B" w:rsidRDefault="003B706B" w:rsidP="00690F37"/>
    <w:p w14:paraId="55ACEF0B" w14:textId="77777777" w:rsidR="003B706B" w:rsidRDefault="003B706B" w:rsidP="00690F37"/>
    <w:p w14:paraId="3510DC7D" w14:textId="0A17EC5D" w:rsidR="00873E4D" w:rsidRDefault="006965A5" w:rsidP="00690F37">
      <w:r>
        <w:t xml:space="preserve">Footer: </w:t>
      </w:r>
    </w:p>
    <w:p w14:paraId="66FFDE4A" w14:textId="4F60A745" w:rsidR="00873E4D" w:rsidRDefault="006965A5" w:rsidP="006965A5">
      <w:r w:rsidRPr="006965A5">
        <w:t>PHONE: 610-321-1030  |  EMAIL: info@elapservices.com</w:t>
      </w:r>
    </w:p>
    <w:sectPr w:rsidR="0087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910A1"/>
    <w:multiLevelType w:val="hybridMultilevel"/>
    <w:tmpl w:val="6824BB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14846"/>
    <w:multiLevelType w:val="hybridMultilevel"/>
    <w:tmpl w:val="D4D4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B"/>
    <w:rsid w:val="00012896"/>
    <w:rsid w:val="001302E6"/>
    <w:rsid w:val="001B763D"/>
    <w:rsid w:val="001F2144"/>
    <w:rsid w:val="00287CC8"/>
    <w:rsid w:val="002A7AEF"/>
    <w:rsid w:val="002C30B8"/>
    <w:rsid w:val="002F068D"/>
    <w:rsid w:val="0030097E"/>
    <w:rsid w:val="003338C2"/>
    <w:rsid w:val="003531A6"/>
    <w:rsid w:val="00377FA7"/>
    <w:rsid w:val="00383297"/>
    <w:rsid w:val="00391B11"/>
    <w:rsid w:val="003B706B"/>
    <w:rsid w:val="003F1FD2"/>
    <w:rsid w:val="0048463B"/>
    <w:rsid w:val="004A68E7"/>
    <w:rsid w:val="005500A3"/>
    <w:rsid w:val="0056408B"/>
    <w:rsid w:val="00564D44"/>
    <w:rsid w:val="00690F37"/>
    <w:rsid w:val="006965A5"/>
    <w:rsid w:val="006D3CC7"/>
    <w:rsid w:val="006D6ACB"/>
    <w:rsid w:val="00721B3B"/>
    <w:rsid w:val="00803A20"/>
    <w:rsid w:val="0085370A"/>
    <w:rsid w:val="00873E4D"/>
    <w:rsid w:val="00884002"/>
    <w:rsid w:val="0094704C"/>
    <w:rsid w:val="0095670C"/>
    <w:rsid w:val="00963E6A"/>
    <w:rsid w:val="00975078"/>
    <w:rsid w:val="00A24E42"/>
    <w:rsid w:val="00A26BCE"/>
    <w:rsid w:val="00A51929"/>
    <w:rsid w:val="00A53827"/>
    <w:rsid w:val="00A57BF1"/>
    <w:rsid w:val="00AA1FD9"/>
    <w:rsid w:val="00AC3D6E"/>
    <w:rsid w:val="00B34199"/>
    <w:rsid w:val="00B34F16"/>
    <w:rsid w:val="00BA6E6C"/>
    <w:rsid w:val="00D32A9E"/>
    <w:rsid w:val="00D418E0"/>
    <w:rsid w:val="00DB3E65"/>
    <w:rsid w:val="00E035BE"/>
    <w:rsid w:val="00E5504C"/>
    <w:rsid w:val="00E63EB2"/>
    <w:rsid w:val="00E719E0"/>
    <w:rsid w:val="00F37934"/>
    <w:rsid w:val="00F77D99"/>
    <w:rsid w:val="00F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D0BB"/>
  <w15:chartTrackingRefBased/>
  <w15:docId w15:val="{E8A60B71-E3E3-4E4A-95E8-08ACF380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8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8B"/>
    <w:pPr>
      <w:ind w:left="720"/>
    </w:pPr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sid w:val="0056408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640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9ED6E07DC2B4ABF890210FF6B6F4E" ma:contentTypeVersion="13" ma:contentTypeDescription="Create a new document." ma:contentTypeScope="" ma:versionID="d495331cd28742959d0b5b82a4eb6cd3">
  <xsd:schema xmlns:xsd="http://www.w3.org/2001/XMLSchema" xmlns:xs="http://www.w3.org/2001/XMLSchema" xmlns:p="http://schemas.microsoft.com/office/2006/metadata/properties" xmlns:ns3="d3166e5a-8848-483f-ae7e-d282095b6884" xmlns:ns4="043e4675-5911-483c-bdb4-3187d281bd15" targetNamespace="http://schemas.microsoft.com/office/2006/metadata/properties" ma:root="true" ma:fieldsID="f7f454cb98126c01f730f84f7e1f90d5" ns3:_="" ns4:_="">
    <xsd:import namespace="d3166e5a-8848-483f-ae7e-d282095b6884"/>
    <xsd:import namespace="043e4675-5911-483c-bdb4-3187d281b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6e5a-8848-483f-ae7e-d282095b6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e4675-5911-483c-bdb4-3187d281b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A336E-0DCC-4F5C-8F10-8AB22A753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DEF1C-4F0F-48BA-90E8-8B17D8874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9B5C8-B694-4517-ACD0-69FA480E5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6e5a-8848-483f-ae7e-d282095b6884"/>
    <ds:schemaRef ds:uri="043e4675-5911-483c-bdb4-3187d281b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Gucciardi</dc:creator>
  <cp:keywords/>
  <dc:description/>
  <cp:lastModifiedBy>April Gucciardi</cp:lastModifiedBy>
  <cp:revision>47</cp:revision>
  <dcterms:created xsi:type="dcterms:W3CDTF">2020-08-19T18:50:00Z</dcterms:created>
  <dcterms:modified xsi:type="dcterms:W3CDTF">2020-08-20T17:14:00Z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0x010100FC39ED6E07DC2B4ABF890210FF6B6F4E</vt:lpwstr>
  </property>
</Properties>
</file>